
<file path=[Content_Types].xml><?xml version="1.0" encoding="utf-8"?>
<Types xmlns="http://schemas.openxmlformats.org/package/2006/content-types">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35" w:rsidRDefault="00E46235">
      <w:pPr>
        <w:rPr>
          <w:rFonts w:hint="eastAsia"/>
        </w:rPr>
      </w:pPr>
    </w:p>
    <w:p w:rsidR="00E46235" w:rsidRDefault="00E46235"/>
    <w:p w:rsidR="00E46235" w:rsidRDefault="00E46235">
      <w:pPr>
        <w:jc w:val="center"/>
        <w:rPr>
          <w:rFonts w:ascii="黑体" w:eastAsia="黑体" w:hAnsi="黑体" w:cs="黑体"/>
          <w:sz w:val="44"/>
          <w:szCs w:val="44"/>
        </w:rPr>
      </w:pPr>
    </w:p>
    <w:p w:rsidR="00E46235" w:rsidRDefault="00E46235">
      <w:pPr>
        <w:jc w:val="center"/>
        <w:rPr>
          <w:rFonts w:ascii="黑体" w:eastAsia="黑体" w:hAnsi="黑体" w:cs="黑体"/>
          <w:sz w:val="44"/>
          <w:szCs w:val="44"/>
        </w:rPr>
      </w:pPr>
    </w:p>
    <w:p w:rsidR="00E46235" w:rsidRDefault="00E46235">
      <w:pPr>
        <w:jc w:val="center"/>
        <w:rPr>
          <w:rFonts w:ascii="黑体" w:eastAsia="黑体" w:hAnsi="黑体" w:cs="黑体"/>
          <w:sz w:val="44"/>
          <w:szCs w:val="44"/>
        </w:rPr>
      </w:pPr>
    </w:p>
    <w:p w:rsidR="00E46235" w:rsidRDefault="0082442E">
      <w:pPr>
        <w:jc w:val="center"/>
        <w:rPr>
          <w:rFonts w:ascii="黑体" w:eastAsia="黑体" w:hAnsi="黑体" w:cs="黑体"/>
          <w:sz w:val="44"/>
          <w:szCs w:val="44"/>
        </w:rPr>
      </w:pPr>
      <w:r>
        <w:rPr>
          <w:rFonts w:ascii="黑体" w:eastAsia="黑体" w:hAnsi="黑体" w:cs="黑体" w:hint="eastAsia"/>
          <w:sz w:val="44"/>
          <w:szCs w:val="44"/>
        </w:rPr>
        <w:t>重庆市羽毛球协会关于召开羽毛球运动水平等级评定培训研讨会的</w:t>
      </w:r>
      <w:r w:rsidR="00F8007D">
        <w:rPr>
          <w:rFonts w:ascii="黑体" w:eastAsia="黑体" w:hAnsi="黑体" w:cs="黑体" w:hint="eastAsia"/>
          <w:sz w:val="44"/>
          <w:szCs w:val="44"/>
        </w:rPr>
        <w:t>通知</w:t>
      </w:r>
    </w:p>
    <w:p w:rsidR="00E46235" w:rsidRDefault="00E46235">
      <w:pPr>
        <w:rPr>
          <w:rFonts w:ascii="方正仿宋_GBK" w:eastAsia="方正仿宋_GBK" w:hAnsi="方正仿宋_GBK" w:cs="方正仿宋_GBK"/>
          <w:sz w:val="28"/>
          <w:szCs w:val="28"/>
        </w:rPr>
      </w:pPr>
    </w:p>
    <w:p w:rsidR="00E46235" w:rsidRDefault="0082442E">
      <w:pPr>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各区县羽协,各有关单位:</w:t>
      </w:r>
    </w:p>
    <w:p w:rsidR="00E46235" w:rsidRDefault="0082442E">
      <w:pPr>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为进一步推动羽毛球</w:t>
      </w:r>
      <w:r w:rsidR="00F8007D">
        <w:rPr>
          <w:rFonts w:ascii="方正仿宋_GBK" w:eastAsia="方正仿宋_GBK" w:hAnsi="方正仿宋_GBK" w:cs="方正仿宋_GBK" w:hint="eastAsia"/>
          <w:sz w:val="28"/>
          <w:szCs w:val="28"/>
        </w:rPr>
        <w:t>运动</w:t>
      </w:r>
      <w:r>
        <w:rPr>
          <w:rFonts w:ascii="方正仿宋_GBK" w:eastAsia="方正仿宋_GBK" w:hAnsi="方正仿宋_GBK" w:cs="方正仿宋_GBK" w:hint="eastAsia"/>
          <w:sz w:val="28"/>
          <w:szCs w:val="28"/>
        </w:rPr>
        <w:t>的普及与可持续性发展,在国家体育总局的统一部署和指导下,2019年4月中国</w:t>
      </w:r>
      <w:r w:rsidR="00F8007D">
        <w:rPr>
          <w:rFonts w:ascii="方正仿宋_GBK" w:eastAsia="方正仿宋_GBK" w:hAnsi="方正仿宋_GBK" w:cs="方正仿宋_GBK" w:hint="eastAsia"/>
          <w:sz w:val="28"/>
          <w:szCs w:val="28"/>
        </w:rPr>
        <w:t>羽毛球协会</w:t>
      </w:r>
      <w:r>
        <w:rPr>
          <w:rFonts w:ascii="方正仿宋_GBK" w:eastAsia="方正仿宋_GBK" w:hAnsi="方正仿宋_GBK" w:cs="方正仿宋_GBK" w:hint="eastAsia"/>
          <w:sz w:val="28"/>
          <w:szCs w:val="28"/>
        </w:rPr>
        <w:t>建立并推出了面向普通群众和青少年学生的等级评定体系一羽毛球运动水平等级评定。</w:t>
      </w:r>
    </w:p>
    <w:p w:rsidR="00E46235" w:rsidRDefault="0082442E" w:rsidP="00F8007D">
      <w:pPr>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为充分调动我市广大羽毛球爱好者投身</w:t>
      </w:r>
      <w:r w:rsidR="00F8007D">
        <w:rPr>
          <w:rFonts w:ascii="方正仿宋_GBK" w:eastAsia="方正仿宋_GBK" w:hAnsi="方正仿宋_GBK" w:cs="方正仿宋_GBK" w:hint="eastAsia"/>
          <w:sz w:val="28"/>
          <w:szCs w:val="28"/>
        </w:rPr>
        <w:t>羽毛球运动</w:t>
      </w:r>
      <w:r>
        <w:rPr>
          <w:rFonts w:ascii="方正仿宋_GBK" w:eastAsia="方正仿宋_GBK" w:hAnsi="方正仿宋_GBK" w:cs="方正仿宋_GBK" w:hint="eastAsia"/>
          <w:sz w:val="28"/>
          <w:szCs w:val="28"/>
        </w:rPr>
        <w:t>健身和训练的积极性,提高</w:t>
      </w:r>
      <w:r w:rsidR="00F8007D">
        <w:rPr>
          <w:rFonts w:ascii="方正仿宋_GBK" w:eastAsia="方正仿宋_GBK" w:hAnsi="方正仿宋_GBK" w:cs="方正仿宋_GBK" w:hint="eastAsia"/>
          <w:sz w:val="28"/>
          <w:szCs w:val="28"/>
        </w:rPr>
        <w:t>参与羽毛球</w:t>
      </w:r>
      <w:r>
        <w:rPr>
          <w:rFonts w:ascii="方正仿宋_GBK" w:eastAsia="方正仿宋_GBK" w:hAnsi="方正仿宋_GBK" w:cs="方正仿宋_GBK" w:hint="eastAsia"/>
          <w:sz w:val="28"/>
          <w:szCs w:val="28"/>
        </w:rPr>
        <w:t>锻炼的获得感和幸福感,</w:t>
      </w:r>
      <w:r w:rsidR="00F8007D">
        <w:rPr>
          <w:rFonts w:ascii="方正仿宋_GBK" w:eastAsia="方正仿宋_GBK" w:hAnsi="方正仿宋_GBK" w:cs="方正仿宋_GBK" w:hint="eastAsia"/>
          <w:sz w:val="28"/>
          <w:szCs w:val="28"/>
        </w:rPr>
        <w:t>提升</w:t>
      </w:r>
      <w:r>
        <w:rPr>
          <w:rFonts w:ascii="方正仿宋_GBK" w:eastAsia="方正仿宋_GBK" w:hAnsi="方正仿宋_GBK" w:cs="方正仿宋_GBK" w:hint="eastAsia"/>
          <w:sz w:val="28"/>
          <w:szCs w:val="28"/>
        </w:rPr>
        <w:t>我市羽毛球人才的储备水平</w:t>
      </w:r>
      <w:r w:rsidR="00F8007D">
        <w:rPr>
          <w:rFonts w:ascii="方正仿宋_GBK" w:eastAsia="方正仿宋_GBK" w:hAnsi="方正仿宋_GBK" w:cs="方正仿宋_GBK" w:hint="eastAsia"/>
          <w:sz w:val="28"/>
          <w:szCs w:val="28"/>
        </w:rPr>
        <w:t>，建立并完善羽毛球运动锻炼的系统化、科学化管理体系，</w:t>
      </w:r>
      <w:r>
        <w:rPr>
          <w:rFonts w:ascii="方正仿宋_GBK" w:eastAsia="方正仿宋_GBK" w:hAnsi="方正仿宋_GBK" w:cs="方正仿宋_GBK" w:hint="eastAsia"/>
          <w:sz w:val="28"/>
          <w:szCs w:val="28"/>
        </w:rPr>
        <w:t>经研究</w:t>
      </w:r>
      <w:r w:rsidR="00F8007D">
        <w:rPr>
          <w:rFonts w:ascii="方正仿宋_GBK" w:eastAsia="方正仿宋_GBK" w:hAnsi="方正仿宋_GBK" w:cs="方正仿宋_GBK" w:hint="eastAsia"/>
          <w:sz w:val="28"/>
          <w:szCs w:val="28"/>
        </w:rPr>
        <w:t>，决定</w:t>
      </w:r>
      <w:r>
        <w:rPr>
          <w:rFonts w:ascii="方正仿宋_GBK" w:eastAsia="方正仿宋_GBK" w:hAnsi="方正仿宋_GBK" w:cs="方正仿宋_GBK" w:hint="eastAsia"/>
          <w:sz w:val="28"/>
          <w:szCs w:val="28"/>
        </w:rPr>
        <w:t>召开羽毛球运动水平等级评定培训研讨会</w:t>
      </w:r>
      <w:r w:rsidR="00F8007D">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现将有关事宜</w:t>
      </w:r>
      <w:r w:rsidR="00F8007D">
        <w:rPr>
          <w:rFonts w:ascii="方正仿宋_GBK" w:eastAsia="方正仿宋_GBK" w:hAnsi="方正仿宋_GBK" w:cs="方正仿宋_GBK" w:hint="eastAsia"/>
          <w:sz w:val="28"/>
          <w:szCs w:val="28"/>
        </w:rPr>
        <w:t>通知</w:t>
      </w:r>
      <w:r>
        <w:rPr>
          <w:rFonts w:ascii="方正仿宋_GBK" w:eastAsia="方正仿宋_GBK" w:hAnsi="方正仿宋_GBK" w:cs="方正仿宋_GBK" w:hint="eastAsia"/>
          <w:sz w:val="28"/>
          <w:szCs w:val="28"/>
        </w:rPr>
        <w:t>如下:</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一,时间</w:t>
      </w:r>
      <w:r w:rsidR="00F8007D">
        <w:rPr>
          <w:rFonts w:ascii="方正仿宋_GBK" w:eastAsia="方正仿宋_GBK" w:hAnsi="方正仿宋_GBK" w:cs="方正仿宋_GBK" w:hint="eastAsia"/>
          <w:sz w:val="28"/>
          <w:szCs w:val="28"/>
        </w:rPr>
        <w:t>：</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时间:2019年1</w:t>
      </w:r>
      <w:r w:rsidR="00BF2CC1">
        <w:rPr>
          <w:rFonts w:ascii="方正仿宋_GBK" w:eastAsia="方正仿宋_GBK" w:hAnsi="方正仿宋_GBK" w:cs="方正仿宋_GBK"/>
          <w:sz w:val="28"/>
          <w:szCs w:val="28"/>
        </w:rPr>
        <w:t>1</w:t>
      </w:r>
      <w:bookmarkStart w:id="0" w:name="_GoBack"/>
      <w:bookmarkEnd w:id="0"/>
      <w:r>
        <w:rPr>
          <w:rFonts w:ascii="方正仿宋_GBK" w:eastAsia="方正仿宋_GBK" w:hAnsi="方正仿宋_GBK" w:cs="方正仿宋_GBK" w:hint="eastAsia"/>
          <w:sz w:val="28"/>
          <w:szCs w:val="28"/>
        </w:rPr>
        <w:t>月</w:t>
      </w:r>
      <w:r w:rsidR="00BF2CC1">
        <w:rPr>
          <w:rFonts w:ascii="方正仿宋_GBK" w:eastAsia="方正仿宋_GBK" w:hAnsi="方正仿宋_GBK" w:cs="方正仿宋_GBK"/>
          <w:sz w:val="28"/>
          <w:szCs w:val="28"/>
        </w:rPr>
        <w:t>16</w:t>
      </w:r>
      <w:r>
        <w:rPr>
          <w:rFonts w:ascii="方正仿宋_GBK" w:eastAsia="方正仿宋_GBK" w:hAnsi="方正仿宋_GBK" w:cs="方正仿宋_GBK" w:hint="eastAsia"/>
          <w:sz w:val="28"/>
          <w:szCs w:val="28"/>
        </w:rPr>
        <w:t>日</w:t>
      </w:r>
      <w:r w:rsidR="00BF2CC1">
        <w:rPr>
          <w:rFonts w:ascii="方正仿宋_GBK" w:eastAsia="方正仿宋_GBK" w:hAnsi="方正仿宋_GBK" w:cs="方正仿宋_GBK" w:hint="eastAsia"/>
          <w:sz w:val="28"/>
          <w:szCs w:val="28"/>
        </w:rPr>
        <w:t xml:space="preserve"> 上午</w:t>
      </w:r>
      <w:r w:rsidR="00BF2CC1">
        <w:rPr>
          <w:rFonts w:ascii="方正仿宋_GBK" w:eastAsia="方正仿宋_GBK" w:hAnsi="方正仿宋_GBK" w:cs="方正仿宋_GBK"/>
          <w:sz w:val="28"/>
          <w:szCs w:val="28"/>
        </w:rPr>
        <w:t>10</w:t>
      </w:r>
      <w:r>
        <w:rPr>
          <w:rFonts w:ascii="方正仿宋_GBK" w:eastAsia="方正仿宋_GBK" w:hAnsi="方正仿宋_GBK" w:cs="方正仿宋_GBK" w:hint="eastAsia"/>
          <w:sz w:val="28"/>
          <w:szCs w:val="28"/>
        </w:rPr>
        <w:t>:00</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地点:</w:t>
      </w:r>
      <w:r w:rsidR="00F8007D">
        <w:rPr>
          <w:rFonts w:ascii="方正仿宋_GBK" w:eastAsia="方正仿宋_GBK" w:hAnsi="方正仿宋_GBK" w:cs="方正仿宋_GBK" w:hint="eastAsia"/>
          <w:sz w:val="28"/>
          <w:szCs w:val="28"/>
        </w:rPr>
        <w:t>重庆市大田湾全民健身中心二楼会议室。</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二,会议内容</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羽毛球运动水平等级评定工作开展情况介绍;</w:t>
      </w:r>
    </w:p>
    <w:p w:rsidR="00E46235" w:rsidRDefault="0082442E" w:rsidP="0082442E">
      <w:pPr>
        <w:ind w:firstLineChars="250" w:firstLine="70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(二)</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羽毛球运动水平等级评定工作业务培训,讲解。</w:t>
      </w:r>
    </w:p>
    <w:p w:rsidR="00F8007D"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（三）区县羽毛球运动开展现状探讨。</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三,参会人员</w:t>
      </w:r>
    </w:p>
    <w:p w:rsidR="00E46235" w:rsidRDefault="0082442E">
      <w:pPr>
        <w:ind w:firstLineChars="400" w:firstLine="11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重庆市羽毛球协会及相关业务部门负责人;各区县羽毛球协会负责人1人；各区县羽毛球运动水平等级评定意向考点机构代表</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名.</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四,其他事项</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(一)各区县羽毛球协会请将报名表纸质版(加盖公章)扫描后于2</w:t>
      </w:r>
      <w:r>
        <w:rPr>
          <w:rFonts w:ascii="方正仿宋_GBK" w:eastAsia="方正仿宋_GBK" w:hAnsi="方正仿宋_GBK" w:cs="方正仿宋_GBK"/>
          <w:sz w:val="28"/>
          <w:szCs w:val="28"/>
        </w:rPr>
        <w:t>019</w:t>
      </w:r>
      <w:r>
        <w:rPr>
          <w:rFonts w:ascii="方正仿宋_GBK" w:eastAsia="方正仿宋_GBK" w:hAnsi="方正仿宋_GBK" w:cs="方正仿宋_GBK" w:hint="eastAsia"/>
          <w:sz w:val="28"/>
          <w:szCs w:val="28"/>
        </w:rPr>
        <w:t>年1</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月</w:t>
      </w:r>
      <w:r>
        <w:rPr>
          <w:rFonts w:ascii="方正仿宋_GBK" w:eastAsia="方正仿宋_GBK" w:hAnsi="方正仿宋_GBK" w:cs="方正仿宋_GBK"/>
          <w:sz w:val="28"/>
          <w:szCs w:val="28"/>
        </w:rPr>
        <w:t>8</w:t>
      </w:r>
      <w:r>
        <w:rPr>
          <w:rFonts w:ascii="方正仿宋_GBK" w:eastAsia="方正仿宋_GBK" w:hAnsi="方正仿宋_GBK" w:cs="方正仿宋_GBK" w:hint="eastAsia"/>
          <w:sz w:val="28"/>
          <w:szCs w:val="28"/>
        </w:rPr>
        <w:t>日前发送至重庆市羽毛球协会;</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(二)参会代表往返交通食宿费用自理.</w:t>
      </w:r>
    </w:p>
    <w:p w:rsidR="00E46235" w:rsidRDefault="0082442E">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五,联系方式</w:t>
      </w:r>
    </w:p>
    <w:p w:rsidR="00E46235" w:rsidRDefault="0082442E" w:rsidP="0082442E">
      <w:pPr>
        <w:ind w:firstLineChars="300" w:firstLine="8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 xml:space="preserve">联系人:王飞 </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电话：1</w:t>
      </w:r>
      <w:r>
        <w:rPr>
          <w:rFonts w:ascii="方正仿宋_GBK" w:eastAsia="方正仿宋_GBK" w:hAnsi="方正仿宋_GBK" w:cs="方正仿宋_GBK"/>
          <w:sz w:val="28"/>
          <w:szCs w:val="28"/>
        </w:rPr>
        <w:t>8983612628</w:t>
      </w:r>
    </w:p>
    <w:p w:rsidR="00E46235" w:rsidRDefault="0082442E">
      <w:pPr>
        <w:ind w:firstLineChars="300" w:firstLine="84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邮箱:</w:t>
      </w:r>
      <w:r>
        <w:rPr>
          <w:rFonts w:ascii="方正仿宋_GBK" w:eastAsia="方正仿宋_GBK" w:hAnsi="方正仿宋_GBK" w:cs="方正仿宋_GBK"/>
          <w:sz w:val="28"/>
          <w:szCs w:val="28"/>
        </w:rPr>
        <w:t>45874419@qq</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com</w:t>
      </w:r>
    </w:p>
    <w:p w:rsidR="00E46235" w:rsidRDefault="00E46235">
      <w:pPr>
        <w:rPr>
          <w:rFonts w:ascii="方正仿宋_GBK" w:eastAsia="方正仿宋_GBK" w:hAnsi="方正仿宋_GBK" w:cs="方正仿宋_GBK"/>
          <w:sz w:val="28"/>
          <w:szCs w:val="28"/>
        </w:rPr>
      </w:pPr>
    </w:p>
    <w:p w:rsidR="00E46235" w:rsidRDefault="0082442E">
      <w:pPr>
        <w:ind w:firstLineChars="1900" w:firstLine="53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重庆市羽毛球协会</w:t>
      </w:r>
    </w:p>
    <w:p w:rsidR="00E46235" w:rsidRDefault="0082442E">
      <w:pPr>
        <w:ind w:firstLineChars="1900" w:firstLine="532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2019年10月</w:t>
      </w:r>
      <w:r>
        <w:rPr>
          <w:rFonts w:ascii="方正仿宋_GBK" w:eastAsia="方正仿宋_GBK" w:hAnsi="方正仿宋_GBK" w:cs="方正仿宋_GBK"/>
          <w:sz w:val="28"/>
          <w:szCs w:val="28"/>
        </w:rPr>
        <w:t>16</w:t>
      </w:r>
      <w:r>
        <w:rPr>
          <w:rFonts w:ascii="方正仿宋_GBK" w:eastAsia="方正仿宋_GBK" w:hAnsi="方正仿宋_GBK" w:cs="方正仿宋_GBK" w:hint="eastAsia"/>
          <w:sz w:val="28"/>
          <w:szCs w:val="28"/>
        </w:rPr>
        <w:t>日</w:t>
      </w: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82442E">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附:羽毛球运动水平等级评定培训研讨会报名表</w:t>
      </w: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E46235">
      <w:pPr>
        <w:rPr>
          <w:rFonts w:ascii="方正仿宋_GBK" w:eastAsia="方正仿宋_GBK" w:hAnsi="方正仿宋_GBK" w:cs="方正仿宋_GBK"/>
          <w:sz w:val="28"/>
          <w:szCs w:val="28"/>
        </w:rPr>
      </w:pPr>
    </w:p>
    <w:p w:rsidR="00E46235" w:rsidRDefault="0082442E">
      <w:pP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附：</w:t>
      </w:r>
    </w:p>
    <w:p w:rsidR="00E46235" w:rsidRDefault="0082442E">
      <w:pPr>
        <w:ind w:firstLineChars="400" w:firstLine="1440"/>
        <w:rPr>
          <w:rFonts w:ascii="黑体" w:eastAsia="黑体" w:hAnsi="黑体" w:cs="黑体"/>
          <w:sz w:val="36"/>
          <w:szCs w:val="36"/>
        </w:rPr>
      </w:pPr>
      <w:r>
        <w:rPr>
          <w:rFonts w:ascii="黑体" w:eastAsia="黑体" w:hAnsi="黑体" w:cs="黑体" w:hint="eastAsia"/>
          <w:sz w:val="36"/>
          <w:szCs w:val="36"/>
        </w:rPr>
        <w:t>羽毛球运动水平等级评定培训研讨会</w:t>
      </w:r>
    </w:p>
    <w:p w:rsidR="00E46235" w:rsidRDefault="00E46235">
      <w:pPr>
        <w:rPr>
          <w:rFonts w:ascii="方正仿宋_GBK" w:eastAsia="方正仿宋_GBK" w:hAnsi="方正仿宋_GBK" w:cs="方正仿宋_GBK"/>
          <w:sz w:val="28"/>
          <w:szCs w:val="28"/>
        </w:rPr>
      </w:pPr>
    </w:p>
    <w:p w:rsidR="00E46235" w:rsidRDefault="0082442E">
      <w:pP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单位（盖章）：</w:t>
      </w:r>
    </w:p>
    <w:tbl>
      <w:tblPr>
        <w:tblStyle w:val="a3"/>
        <w:tblW w:w="8522" w:type="dxa"/>
        <w:tblLayout w:type="fixed"/>
        <w:tblLook w:val="04A0" w:firstRow="1" w:lastRow="0" w:firstColumn="1" w:lastColumn="0" w:noHBand="0" w:noVBand="1"/>
      </w:tblPr>
      <w:tblGrid>
        <w:gridCol w:w="1181"/>
        <w:gridCol w:w="1200"/>
        <w:gridCol w:w="2160"/>
        <w:gridCol w:w="1139"/>
        <w:gridCol w:w="2041"/>
        <w:gridCol w:w="801"/>
      </w:tblGrid>
      <w:tr w:rsidR="00E46235">
        <w:tc>
          <w:tcPr>
            <w:tcW w:w="1181"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姓名</w:t>
            </w:r>
          </w:p>
        </w:tc>
        <w:tc>
          <w:tcPr>
            <w:tcW w:w="1200"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性别</w:t>
            </w:r>
          </w:p>
        </w:tc>
        <w:tc>
          <w:tcPr>
            <w:tcW w:w="2160"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单位</w:t>
            </w:r>
          </w:p>
        </w:tc>
        <w:tc>
          <w:tcPr>
            <w:tcW w:w="1139"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职务</w:t>
            </w:r>
          </w:p>
        </w:tc>
        <w:tc>
          <w:tcPr>
            <w:tcW w:w="2041"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联系方式</w:t>
            </w:r>
          </w:p>
        </w:tc>
        <w:tc>
          <w:tcPr>
            <w:tcW w:w="801" w:type="dxa"/>
          </w:tcPr>
          <w:p w:rsidR="00E46235" w:rsidRDefault="0082442E">
            <w:pPr>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备注</w:t>
            </w:r>
          </w:p>
        </w:tc>
      </w:tr>
      <w:tr w:rsidR="00E46235">
        <w:tc>
          <w:tcPr>
            <w:tcW w:w="1181" w:type="dxa"/>
          </w:tcPr>
          <w:p w:rsidR="00E46235" w:rsidRDefault="00E46235">
            <w:pPr>
              <w:rPr>
                <w:rFonts w:ascii="方正仿宋_GBK" w:eastAsia="方正仿宋_GBK" w:hAnsi="方正仿宋_GBK" w:cs="方正仿宋_GBK"/>
                <w:sz w:val="28"/>
                <w:szCs w:val="28"/>
              </w:rPr>
            </w:pPr>
          </w:p>
        </w:tc>
        <w:tc>
          <w:tcPr>
            <w:tcW w:w="1200" w:type="dxa"/>
          </w:tcPr>
          <w:p w:rsidR="00E46235" w:rsidRDefault="00E46235">
            <w:pPr>
              <w:rPr>
                <w:rFonts w:ascii="方正仿宋_GBK" w:eastAsia="方正仿宋_GBK" w:hAnsi="方正仿宋_GBK" w:cs="方正仿宋_GBK"/>
                <w:sz w:val="28"/>
                <w:szCs w:val="28"/>
              </w:rPr>
            </w:pPr>
          </w:p>
        </w:tc>
        <w:tc>
          <w:tcPr>
            <w:tcW w:w="2160" w:type="dxa"/>
          </w:tcPr>
          <w:p w:rsidR="00E46235" w:rsidRDefault="00E46235">
            <w:pPr>
              <w:rPr>
                <w:rFonts w:ascii="方正仿宋_GBK" w:eastAsia="方正仿宋_GBK" w:hAnsi="方正仿宋_GBK" w:cs="方正仿宋_GBK"/>
                <w:sz w:val="28"/>
                <w:szCs w:val="28"/>
              </w:rPr>
            </w:pPr>
          </w:p>
        </w:tc>
        <w:tc>
          <w:tcPr>
            <w:tcW w:w="1139" w:type="dxa"/>
          </w:tcPr>
          <w:p w:rsidR="00E46235" w:rsidRDefault="00E46235">
            <w:pPr>
              <w:rPr>
                <w:rFonts w:ascii="方正仿宋_GBK" w:eastAsia="方正仿宋_GBK" w:hAnsi="方正仿宋_GBK" w:cs="方正仿宋_GBK"/>
                <w:sz w:val="28"/>
                <w:szCs w:val="28"/>
              </w:rPr>
            </w:pPr>
          </w:p>
        </w:tc>
        <w:tc>
          <w:tcPr>
            <w:tcW w:w="2041" w:type="dxa"/>
          </w:tcPr>
          <w:p w:rsidR="00E46235" w:rsidRDefault="00E46235">
            <w:pPr>
              <w:rPr>
                <w:rFonts w:ascii="方正仿宋_GBK" w:eastAsia="方正仿宋_GBK" w:hAnsi="方正仿宋_GBK" w:cs="方正仿宋_GBK"/>
                <w:sz w:val="28"/>
                <w:szCs w:val="28"/>
              </w:rPr>
            </w:pPr>
          </w:p>
        </w:tc>
        <w:tc>
          <w:tcPr>
            <w:tcW w:w="801" w:type="dxa"/>
          </w:tcPr>
          <w:p w:rsidR="00E46235" w:rsidRDefault="00E46235">
            <w:pPr>
              <w:rPr>
                <w:rFonts w:ascii="方正仿宋_GBK" w:eastAsia="方正仿宋_GBK" w:hAnsi="方正仿宋_GBK" w:cs="方正仿宋_GBK"/>
                <w:sz w:val="28"/>
                <w:szCs w:val="28"/>
              </w:rPr>
            </w:pPr>
          </w:p>
        </w:tc>
      </w:tr>
      <w:tr w:rsidR="00E46235">
        <w:tc>
          <w:tcPr>
            <w:tcW w:w="1181" w:type="dxa"/>
          </w:tcPr>
          <w:p w:rsidR="00E46235" w:rsidRDefault="00E46235">
            <w:pPr>
              <w:rPr>
                <w:rFonts w:ascii="方正仿宋_GBK" w:eastAsia="方正仿宋_GBK" w:hAnsi="方正仿宋_GBK" w:cs="方正仿宋_GBK"/>
                <w:sz w:val="28"/>
                <w:szCs w:val="28"/>
              </w:rPr>
            </w:pPr>
          </w:p>
        </w:tc>
        <w:tc>
          <w:tcPr>
            <w:tcW w:w="1200" w:type="dxa"/>
          </w:tcPr>
          <w:p w:rsidR="00E46235" w:rsidRDefault="00E46235">
            <w:pPr>
              <w:rPr>
                <w:rFonts w:ascii="方正仿宋_GBK" w:eastAsia="方正仿宋_GBK" w:hAnsi="方正仿宋_GBK" w:cs="方正仿宋_GBK"/>
                <w:sz w:val="28"/>
                <w:szCs w:val="28"/>
              </w:rPr>
            </w:pPr>
          </w:p>
        </w:tc>
        <w:tc>
          <w:tcPr>
            <w:tcW w:w="2160" w:type="dxa"/>
          </w:tcPr>
          <w:p w:rsidR="00E46235" w:rsidRDefault="00E46235">
            <w:pPr>
              <w:rPr>
                <w:rFonts w:ascii="方正仿宋_GBK" w:eastAsia="方正仿宋_GBK" w:hAnsi="方正仿宋_GBK" w:cs="方正仿宋_GBK"/>
                <w:sz w:val="28"/>
                <w:szCs w:val="28"/>
              </w:rPr>
            </w:pPr>
          </w:p>
        </w:tc>
        <w:tc>
          <w:tcPr>
            <w:tcW w:w="1139" w:type="dxa"/>
          </w:tcPr>
          <w:p w:rsidR="00E46235" w:rsidRDefault="00E46235">
            <w:pPr>
              <w:rPr>
                <w:rFonts w:ascii="方正仿宋_GBK" w:eastAsia="方正仿宋_GBK" w:hAnsi="方正仿宋_GBK" w:cs="方正仿宋_GBK"/>
                <w:sz w:val="28"/>
                <w:szCs w:val="28"/>
              </w:rPr>
            </w:pPr>
          </w:p>
        </w:tc>
        <w:tc>
          <w:tcPr>
            <w:tcW w:w="2041" w:type="dxa"/>
          </w:tcPr>
          <w:p w:rsidR="00E46235" w:rsidRDefault="00E46235">
            <w:pPr>
              <w:rPr>
                <w:rFonts w:ascii="方正仿宋_GBK" w:eastAsia="方正仿宋_GBK" w:hAnsi="方正仿宋_GBK" w:cs="方正仿宋_GBK"/>
                <w:sz w:val="28"/>
                <w:szCs w:val="28"/>
              </w:rPr>
            </w:pPr>
          </w:p>
        </w:tc>
        <w:tc>
          <w:tcPr>
            <w:tcW w:w="801" w:type="dxa"/>
          </w:tcPr>
          <w:p w:rsidR="00E46235" w:rsidRDefault="00E46235">
            <w:pPr>
              <w:rPr>
                <w:rFonts w:ascii="方正仿宋_GBK" w:eastAsia="方正仿宋_GBK" w:hAnsi="方正仿宋_GBK" w:cs="方正仿宋_GBK"/>
                <w:sz w:val="28"/>
                <w:szCs w:val="28"/>
              </w:rPr>
            </w:pPr>
          </w:p>
        </w:tc>
      </w:tr>
      <w:tr w:rsidR="00E46235">
        <w:tc>
          <w:tcPr>
            <w:tcW w:w="1181" w:type="dxa"/>
          </w:tcPr>
          <w:p w:rsidR="00E46235" w:rsidRDefault="00E46235">
            <w:pPr>
              <w:rPr>
                <w:rFonts w:ascii="方正仿宋_GBK" w:eastAsia="方正仿宋_GBK" w:hAnsi="方正仿宋_GBK" w:cs="方正仿宋_GBK"/>
                <w:sz w:val="28"/>
                <w:szCs w:val="28"/>
              </w:rPr>
            </w:pPr>
          </w:p>
        </w:tc>
        <w:tc>
          <w:tcPr>
            <w:tcW w:w="1200" w:type="dxa"/>
          </w:tcPr>
          <w:p w:rsidR="00E46235" w:rsidRDefault="00E46235">
            <w:pPr>
              <w:rPr>
                <w:rFonts w:ascii="方正仿宋_GBK" w:eastAsia="方正仿宋_GBK" w:hAnsi="方正仿宋_GBK" w:cs="方正仿宋_GBK"/>
                <w:sz w:val="28"/>
                <w:szCs w:val="28"/>
              </w:rPr>
            </w:pPr>
          </w:p>
        </w:tc>
        <w:tc>
          <w:tcPr>
            <w:tcW w:w="2160" w:type="dxa"/>
          </w:tcPr>
          <w:p w:rsidR="00E46235" w:rsidRDefault="00E46235">
            <w:pPr>
              <w:rPr>
                <w:rFonts w:ascii="方正仿宋_GBK" w:eastAsia="方正仿宋_GBK" w:hAnsi="方正仿宋_GBK" w:cs="方正仿宋_GBK"/>
                <w:sz w:val="28"/>
                <w:szCs w:val="28"/>
              </w:rPr>
            </w:pPr>
          </w:p>
        </w:tc>
        <w:tc>
          <w:tcPr>
            <w:tcW w:w="1139" w:type="dxa"/>
          </w:tcPr>
          <w:p w:rsidR="00E46235" w:rsidRDefault="00E46235">
            <w:pPr>
              <w:rPr>
                <w:rFonts w:ascii="方正仿宋_GBK" w:eastAsia="方正仿宋_GBK" w:hAnsi="方正仿宋_GBK" w:cs="方正仿宋_GBK"/>
                <w:sz w:val="28"/>
                <w:szCs w:val="28"/>
              </w:rPr>
            </w:pPr>
          </w:p>
        </w:tc>
        <w:tc>
          <w:tcPr>
            <w:tcW w:w="2041" w:type="dxa"/>
          </w:tcPr>
          <w:p w:rsidR="00E46235" w:rsidRDefault="00E46235">
            <w:pPr>
              <w:rPr>
                <w:rFonts w:ascii="方正仿宋_GBK" w:eastAsia="方正仿宋_GBK" w:hAnsi="方正仿宋_GBK" w:cs="方正仿宋_GBK"/>
                <w:sz w:val="28"/>
                <w:szCs w:val="28"/>
              </w:rPr>
            </w:pPr>
          </w:p>
        </w:tc>
        <w:tc>
          <w:tcPr>
            <w:tcW w:w="801" w:type="dxa"/>
          </w:tcPr>
          <w:p w:rsidR="00E46235" w:rsidRDefault="00E46235">
            <w:pPr>
              <w:rPr>
                <w:rFonts w:ascii="方正仿宋_GBK" w:eastAsia="方正仿宋_GBK" w:hAnsi="方正仿宋_GBK" w:cs="方正仿宋_GBK"/>
                <w:sz w:val="28"/>
                <w:szCs w:val="28"/>
              </w:rPr>
            </w:pPr>
          </w:p>
        </w:tc>
      </w:tr>
    </w:tbl>
    <w:p w:rsidR="00E46235" w:rsidRDefault="00E46235">
      <w:pPr>
        <w:rPr>
          <w:rFonts w:ascii="方正仿宋_GBK" w:eastAsia="方正仿宋_GBK" w:hAnsi="方正仿宋_GBK" w:cs="方正仿宋_GBK"/>
          <w:sz w:val="28"/>
          <w:szCs w:val="28"/>
        </w:rPr>
      </w:pPr>
    </w:p>
    <w:sectPr w:rsidR="00E46235">
      <w:pgSz w:w="11906" w:h="16838"/>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embedRegular r:id="rId1" w:subsetted="1" w:fontKey="{E9C244C6-636E-4D63-BE7A-71571FD4F5D4}"/>
  </w:font>
  <w:font w:name="方正仿宋_GBK">
    <w:panose1 w:val="03000509000000000000"/>
    <w:charset w:val="86"/>
    <w:family w:val="script"/>
    <w:pitch w:val="fixed"/>
    <w:sig w:usb0="00000001" w:usb1="080E0000" w:usb2="00000010" w:usb3="00000000" w:csb0="00040000" w:csb1="00000000"/>
    <w:embedRegular r:id="rId2" w:subsetted="1" w:fontKey="{51CD4C3F-06A9-456A-9949-426DC475D437}"/>
    <w:embedBold r:id="rId3" w:subsetted="1" w:fontKey="{ADCAB4EB-7E79-4B40-B478-8FC2A6227313}"/>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FA1"/>
    <w:rsid w:val="00190E02"/>
    <w:rsid w:val="001D6E6F"/>
    <w:rsid w:val="002B2802"/>
    <w:rsid w:val="00464FA1"/>
    <w:rsid w:val="006C14F8"/>
    <w:rsid w:val="007808C3"/>
    <w:rsid w:val="0082442E"/>
    <w:rsid w:val="00B65D74"/>
    <w:rsid w:val="00BC3A38"/>
    <w:rsid w:val="00BF2CC1"/>
    <w:rsid w:val="00E46235"/>
    <w:rsid w:val="00F617BB"/>
    <w:rsid w:val="00F8007D"/>
    <w:rsid w:val="15254A16"/>
    <w:rsid w:val="2FC37E04"/>
    <w:rsid w:val="554A30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7F8A9"/>
  <w15:docId w15:val="{7ED1FE43-7DBB-42C0-ABA8-1CDED45B1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107</Words>
  <Characters>610</Characters>
  <Application>Microsoft Office Word</Application>
  <DocSecurity>0</DocSecurity>
  <Lines>5</Lines>
  <Paragraphs>1</Paragraphs>
  <ScaleCrop>false</ScaleCrop>
  <Company>Microsoft</Company>
  <LinksUpToDate>false</LinksUpToDate>
  <CharactersWithSpaces>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dc:creator>
  <cp:lastModifiedBy>Administrator</cp:lastModifiedBy>
  <cp:revision>9</cp:revision>
  <dcterms:created xsi:type="dcterms:W3CDTF">2019-04-28T03:46:00Z</dcterms:created>
  <dcterms:modified xsi:type="dcterms:W3CDTF">2019-10-16T08:56:00Z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